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D037" w14:textId="77777777" w:rsidR="007E550F" w:rsidRPr="006B7126" w:rsidRDefault="007E550F">
      <w:pPr>
        <w:contextualSpacing/>
        <w:rPr>
          <w:sz w:val="24"/>
          <w:szCs w:val="24"/>
        </w:rPr>
      </w:pPr>
    </w:p>
    <w:p w14:paraId="34B284CA" w14:textId="174EFB9D" w:rsidR="002D19C2" w:rsidRPr="001F4402" w:rsidRDefault="002D19C2">
      <w:pPr>
        <w:contextualSpacing/>
      </w:pPr>
      <w:r w:rsidRPr="001F4402">
        <w:rPr>
          <w:b/>
          <w:bCs/>
        </w:rPr>
        <w:t>Application Date</w:t>
      </w:r>
      <w:r w:rsidR="00E46DEB" w:rsidRPr="001F4402">
        <w:rPr>
          <w:b/>
          <w:bCs/>
        </w:rPr>
        <w:t>: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Pr="001F4402">
        <w:tab/>
      </w:r>
      <w:r w:rsidRPr="001F4402">
        <w:rPr>
          <w:b/>
          <w:bCs/>
        </w:rPr>
        <w:t>Connection Date</w:t>
      </w:r>
      <w:r w:rsidR="00E46DEB" w:rsidRPr="001F4402">
        <w:rPr>
          <w:b/>
          <w:bCs/>
        </w:rPr>
        <w:t>: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6B7126" w:rsidRPr="001F4402">
        <w:rPr>
          <w:u w:val="single"/>
        </w:rPr>
        <w:tab/>
      </w:r>
    </w:p>
    <w:p w14:paraId="4BA89B9A" w14:textId="2C198CD5" w:rsidR="002D19C2" w:rsidRPr="000F5FF2" w:rsidRDefault="002D19C2">
      <w:pPr>
        <w:contextualSpacing/>
        <w:rPr>
          <w:b/>
          <w:bCs/>
          <w:u w:val="single"/>
        </w:rPr>
      </w:pPr>
      <w:r w:rsidRPr="001F4402">
        <w:rPr>
          <w:b/>
          <w:bCs/>
        </w:rPr>
        <w:t>Name</w:t>
      </w:r>
      <w:r w:rsidR="006B7126" w:rsidRPr="001F4402">
        <w:rPr>
          <w:b/>
          <w:bCs/>
        </w:rPr>
        <w:t xml:space="preserve"> of Applicant</w:t>
      </w:r>
      <w:r w:rsidR="00E46DEB" w:rsidRPr="001F4402">
        <w:rPr>
          <w:b/>
          <w:bCs/>
        </w:rPr>
        <w:t>:</w:t>
      </w:r>
      <w:r w:rsidRPr="001F4402">
        <w:rPr>
          <w:b/>
          <w:bCs/>
        </w:rPr>
        <w:t xml:space="preserve"> </w:t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="000F5FF2">
        <w:rPr>
          <w:b/>
          <w:bCs/>
        </w:rPr>
        <w:tab/>
        <w:t xml:space="preserve">Applicant Social Security # </w:t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</w:p>
    <w:p w14:paraId="05DBE554" w14:textId="3D72A5B6" w:rsidR="002D19C2" w:rsidRPr="000F5FF2" w:rsidRDefault="002D19C2">
      <w:pPr>
        <w:contextualSpacing/>
        <w:rPr>
          <w:b/>
          <w:bCs/>
          <w:u w:val="single"/>
        </w:rPr>
      </w:pPr>
      <w:r w:rsidRPr="001F4402">
        <w:rPr>
          <w:b/>
          <w:bCs/>
        </w:rPr>
        <w:t>Co-Applicant</w:t>
      </w:r>
      <w:r w:rsidR="00E46DEB" w:rsidRPr="001F4402">
        <w:rPr>
          <w:b/>
          <w:bCs/>
        </w:rPr>
        <w:t>:</w:t>
      </w:r>
      <w:r w:rsidRPr="001F4402">
        <w:rPr>
          <w:b/>
          <w:bCs/>
        </w:rPr>
        <w:t xml:space="preserve"> </w:t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0F5FF2">
        <w:rPr>
          <w:b/>
          <w:bCs/>
        </w:rPr>
        <w:tab/>
        <w:t xml:space="preserve">Co-Applicant Social Security # </w:t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</w:p>
    <w:p w14:paraId="414698A6" w14:textId="00956615" w:rsidR="002D19C2" w:rsidRPr="001F4402" w:rsidRDefault="002D19C2">
      <w:pPr>
        <w:contextualSpacing/>
        <w:rPr>
          <w:b/>
          <w:bCs/>
        </w:rPr>
      </w:pPr>
      <w:r w:rsidRPr="001F4402">
        <w:rPr>
          <w:b/>
          <w:bCs/>
        </w:rPr>
        <w:t>Service Address</w:t>
      </w:r>
      <w:r w:rsidR="00E46DEB" w:rsidRPr="001F4402">
        <w:rPr>
          <w:b/>
          <w:bCs/>
        </w:rPr>
        <w:t>:</w:t>
      </w:r>
      <w:r w:rsidRPr="001F4402">
        <w:rPr>
          <w:b/>
          <w:bCs/>
        </w:rPr>
        <w:t xml:space="preserve"> </w:t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</w:p>
    <w:p w14:paraId="346D6F69" w14:textId="7E79E71A" w:rsidR="002D19C2" w:rsidRPr="001F4402" w:rsidRDefault="002D19C2">
      <w:pPr>
        <w:contextualSpacing/>
        <w:rPr>
          <w:b/>
          <w:bCs/>
        </w:rPr>
      </w:pPr>
      <w:r w:rsidRPr="001F4402">
        <w:rPr>
          <w:b/>
          <w:bCs/>
        </w:rPr>
        <w:t>Mailing Address</w:t>
      </w:r>
      <w:r w:rsidR="00E46DEB" w:rsidRPr="001F4402">
        <w:rPr>
          <w:b/>
          <w:bCs/>
        </w:rPr>
        <w:t>:</w:t>
      </w:r>
      <w:r w:rsidRPr="001F4402">
        <w:rPr>
          <w:b/>
          <w:bCs/>
        </w:rPr>
        <w:t xml:space="preserve"> </w:t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</w:p>
    <w:p w14:paraId="4206EA6D" w14:textId="681490AE" w:rsidR="006B7126" w:rsidRDefault="002D19C2">
      <w:pPr>
        <w:contextualSpacing/>
        <w:rPr>
          <w:u w:val="single"/>
        </w:rPr>
      </w:pPr>
      <w:r w:rsidRPr="001F4402">
        <w:rPr>
          <w:b/>
          <w:bCs/>
        </w:rPr>
        <w:t>Telephone Number</w:t>
      </w:r>
      <w:r w:rsidR="00E46DEB" w:rsidRPr="001F4402">
        <w:rPr>
          <w:b/>
          <w:bCs/>
        </w:rPr>
        <w:t>:</w:t>
      </w:r>
      <w:r w:rsidRPr="001F4402">
        <w:t xml:space="preserve"> </w:t>
      </w:r>
      <w:r w:rsidRPr="001F4402">
        <w:rPr>
          <w:i/>
          <w:iCs/>
        </w:rPr>
        <w:t>(Cell)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1F4402">
        <w:rPr>
          <w:u w:val="single"/>
        </w:rPr>
        <w:tab/>
      </w:r>
      <w:r w:rsidRPr="001F4402">
        <w:t xml:space="preserve"> </w:t>
      </w:r>
      <w:r w:rsidRPr="001F4402">
        <w:rPr>
          <w:i/>
          <w:iCs/>
        </w:rPr>
        <w:t>(Home)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t xml:space="preserve"> </w:t>
      </w:r>
      <w:r w:rsidRPr="001F4402">
        <w:rPr>
          <w:i/>
          <w:iCs/>
        </w:rPr>
        <w:t>(Work)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1F4402">
        <w:rPr>
          <w:u w:val="single"/>
        </w:rPr>
        <w:tab/>
      </w:r>
    </w:p>
    <w:p w14:paraId="3ABC66A0" w14:textId="279835CC" w:rsidR="00A6501A" w:rsidRPr="00A6501A" w:rsidRDefault="00A6501A">
      <w:pPr>
        <w:contextualSpacing/>
        <w:rPr>
          <w:u w:val="single"/>
        </w:rPr>
      </w:pPr>
      <w:r w:rsidRPr="00A6501A">
        <w:rPr>
          <w:b/>
          <w:bCs/>
        </w:rPr>
        <w:t>Email Address:</w:t>
      </w:r>
      <w:r>
        <w:rPr>
          <w:b/>
          <w:b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BE2A3" w14:textId="39061F09" w:rsidR="00E46DEB" w:rsidRPr="001F4402" w:rsidRDefault="00000000">
      <w:pPr>
        <w:contextualSpacing/>
      </w:pPr>
      <w:r>
        <w:pict w14:anchorId="426773B9">
          <v:rect id="_x0000_i1025" style="width:351pt;height:1.5pt" o:hrpct="650" o:hralign="center" o:hrstd="t" o:hr="t" fillcolor="#a0a0a0" stroked="f"/>
        </w:pict>
      </w:r>
    </w:p>
    <w:p w14:paraId="19D4F79C" w14:textId="77777777" w:rsidR="00E46DEB" w:rsidRPr="001F4402" w:rsidRDefault="00E46DEB">
      <w:pPr>
        <w:contextualSpacing/>
        <w:rPr>
          <w:b/>
          <w:bCs/>
        </w:rPr>
      </w:pPr>
      <w:r w:rsidRPr="001F4402">
        <w:rPr>
          <w:b/>
          <w:bCs/>
        </w:rPr>
        <w:t xml:space="preserve">Ownership &amp; </w:t>
      </w:r>
      <w:r w:rsidR="006B7126" w:rsidRPr="001F4402">
        <w:rPr>
          <w:b/>
          <w:bCs/>
        </w:rPr>
        <w:t>Occupancy Information:</w:t>
      </w:r>
    </w:p>
    <w:p w14:paraId="53DFA186" w14:textId="65DFC830" w:rsidR="00723927" w:rsidRPr="001F4402" w:rsidRDefault="00723927" w:rsidP="001F4402">
      <w:pPr>
        <w:pStyle w:val="ListParagraph"/>
        <w:numPr>
          <w:ilvl w:val="0"/>
          <w:numId w:val="3"/>
        </w:numPr>
      </w:pPr>
      <w:r w:rsidRPr="001F4402">
        <w:t xml:space="preserve">Does the Applicant own the property? </w:t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="006E602F" w:rsidRPr="001F4402">
        <w:tab/>
      </w:r>
      <w:r w:rsidR="001F4402">
        <w:tab/>
      </w:r>
      <w:r w:rsidRPr="001F4402">
        <w:rPr>
          <w:i/>
          <w:iCs/>
          <w:u w:val="single"/>
        </w:rPr>
        <w:t>YES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ab/>
        <w:t xml:space="preserve">  </w:t>
      </w:r>
      <w:r w:rsidRPr="001F4402">
        <w:rPr>
          <w:i/>
          <w:iCs/>
          <w:u w:val="single"/>
        </w:rPr>
        <w:t>NO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 xml:space="preserve"> </w:t>
      </w:r>
    </w:p>
    <w:p w14:paraId="0378FF1D" w14:textId="550FC0B0" w:rsidR="00723927" w:rsidRPr="001F4402" w:rsidRDefault="00723927" w:rsidP="001F4402">
      <w:pPr>
        <w:pStyle w:val="ListParagraph"/>
        <w:numPr>
          <w:ilvl w:val="0"/>
          <w:numId w:val="3"/>
        </w:numPr>
      </w:pPr>
      <w:r w:rsidRPr="001F4402">
        <w:t>Does the Applicant rent the property?</w:t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="006E602F" w:rsidRPr="001F4402">
        <w:tab/>
      </w:r>
      <w:r w:rsidR="001F4402">
        <w:tab/>
      </w:r>
      <w:r w:rsidRPr="001F4402">
        <w:rPr>
          <w:i/>
          <w:iCs/>
          <w:u w:val="single"/>
        </w:rPr>
        <w:t>YES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ab/>
        <w:t xml:space="preserve">  </w:t>
      </w:r>
      <w:r w:rsidRPr="001F4402">
        <w:rPr>
          <w:i/>
          <w:iCs/>
          <w:u w:val="single"/>
        </w:rPr>
        <w:t>NO</w:t>
      </w:r>
      <w:r w:rsidRPr="001F4402">
        <w:rPr>
          <w:i/>
          <w:iCs/>
        </w:rPr>
        <w:t xml:space="preserve"> </w:t>
      </w:r>
      <w:r w:rsidRPr="001F4402">
        <w:sym w:font="Wingdings" w:char="F06F"/>
      </w:r>
    </w:p>
    <w:p w14:paraId="1F350547" w14:textId="58600550" w:rsidR="00E46DEB" w:rsidRPr="001F4402" w:rsidRDefault="005B2DBC" w:rsidP="001F4402">
      <w:pPr>
        <w:pStyle w:val="ListParagraph"/>
        <w:numPr>
          <w:ilvl w:val="0"/>
          <w:numId w:val="3"/>
        </w:numPr>
        <w:rPr>
          <w:u w:val="single"/>
        </w:rPr>
      </w:pPr>
      <w:r w:rsidRPr="001F4402">
        <w:t>Will the</w:t>
      </w:r>
      <w:r w:rsidR="00E46DEB" w:rsidRPr="001F4402">
        <w:t xml:space="preserve"> utility service connection </w:t>
      </w:r>
      <w:r w:rsidR="001F4402" w:rsidRPr="001F4402">
        <w:t>provide</w:t>
      </w:r>
      <w:r w:rsidR="00E46DEB" w:rsidRPr="001F4402">
        <w:t xml:space="preserve"> service to a manufactured home or trailer?</w:t>
      </w:r>
      <w:r w:rsidR="006E602F" w:rsidRPr="001F4402">
        <w:tab/>
      </w:r>
      <w:r w:rsidR="001F4402">
        <w:tab/>
      </w:r>
      <w:r w:rsidR="00E46DEB" w:rsidRPr="001F4402">
        <w:rPr>
          <w:i/>
          <w:iCs/>
          <w:u w:val="single"/>
        </w:rPr>
        <w:t>YES</w:t>
      </w:r>
      <w:r w:rsidR="00E46DEB" w:rsidRPr="001F4402">
        <w:t xml:space="preserve"> </w:t>
      </w:r>
      <w:r w:rsidR="00E46DEB" w:rsidRPr="001F4402">
        <w:sym w:font="Wingdings" w:char="F06F"/>
      </w:r>
      <w:r w:rsidR="00E46DEB" w:rsidRPr="001F4402">
        <w:tab/>
        <w:t xml:space="preserve">  </w:t>
      </w:r>
      <w:r w:rsidR="00E46DEB" w:rsidRPr="001F4402">
        <w:rPr>
          <w:i/>
          <w:iCs/>
          <w:u w:val="single"/>
        </w:rPr>
        <w:t>NO</w:t>
      </w:r>
      <w:r w:rsidR="00E46DEB" w:rsidRPr="001F4402">
        <w:t xml:space="preserve"> </w:t>
      </w:r>
      <w:r w:rsidR="00E46DEB" w:rsidRPr="001F4402">
        <w:sym w:font="Wingdings" w:char="F06F"/>
      </w:r>
    </w:p>
    <w:p w14:paraId="052CD93A" w14:textId="779EE003" w:rsidR="00E46DEB" w:rsidRPr="001F4402" w:rsidRDefault="00E46DEB" w:rsidP="001F4402">
      <w:pPr>
        <w:pStyle w:val="ListParagraph"/>
        <w:numPr>
          <w:ilvl w:val="1"/>
          <w:numId w:val="3"/>
        </w:numPr>
        <w:rPr>
          <w:u w:val="single"/>
        </w:rPr>
      </w:pPr>
      <w:r w:rsidRPr="001F4402">
        <w:t>If YES, is the manufactured home or trailer on a rented lot?</w:t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rPr>
          <w:i/>
          <w:iCs/>
          <w:u w:val="single"/>
        </w:rPr>
        <w:t>YES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ab/>
        <w:t xml:space="preserve">  </w:t>
      </w:r>
      <w:r w:rsidRPr="001F4402">
        <w:rPr>
          <w:i/>
          <w:iCs/>
          <w:u w:val="single"/>
        </w:rPr>
        <w:t>NO</w:t>
      </w:r>
      <w:r w:rsidRPr="001F4402">
        <w:t xml:space="preserve"> </w:t>
      </w:r>
      <w:r w:rsidRPr="001F4402">
        <w:sym w:font="Wingdings" w:char="F06F"/>
      </w:r>
    </w:p>
    <w:p w14:paraId="6551E98A" w14:textId="5DB3F370" w:rsidR="002D19C2" w:rsidRPr="001F4402" w:rsidRDefault="002D19C2">
      <w:pPr>
        <w:contextualSpacing/>
      </w:pPr>
      <w:r w:rsidRPr="001F4402">
        <w:t xml:space="preserve">Name of Property Owner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</w:p>
    <w:p w14:paraId="193192BB" w14:textId="2E9EDA47" w:rsidR="002D19C2" w:rsidRPr="001F4402" w:rsidRDefault="002D19C2">
      <w:pPr>
        <w:contextualSpacing/>
      </w:pPr>
      <w:r w:rsidRPr="001F4402">
        <w:t xml:space="preserve">Place of Employment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</w:p>
    <w:p w14:paraId="17369690" w14:textId="4F27B7DC" w:rsidR="002D19C2" w:rsidRPr="001F4402" w:rsidRDefault="002D19C2">
      <w:pPr>
        <w:contextualSpacing/>
        <w:rPr>
          <w:b/>
          <w:bCs/>
        </w:rPr>
      </w:pPr>
      <w:r w:rsidRPr="001F4402">
        <w:t>Co-Applicant</w:t>
      </w:r>
      <w:r w:rsidR="005B2DBC" w:rsidRPr="001F4402">
        <w:t xml:space="preserve"> Place of Employment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</w:p>
    <w:p w14:paraId="714D4798" w14:textId="77777777" w:rsidR="006B7126" w:rsidRPr="001F4402" w:rsidRDefault="006B7126">
      <w:pPr>
        <w:contextualSpacing/>
        <w:rPr>
          <w:sz w:val="14"/>
          <w:szCs w:val="14"/>
        </w:rPr>
      </w:pPr>
    </w:p>
    <w:p w14:paraId="4D064362" w14:textId="05924575" w:rsidR="002D19C2" w:rsidRPr="001F4402" w:rsidRDefault="002D19C2">
      <w:pPr>
        <w:contextualSpacing/>
      </w:pPr>
      <w:r w:rsidRPr="001F4402">
        <w:t>Have you or the Co-Applicant had utility service with the Town of Waynesville Before?</w:t>
      </w:r>
      <w:r w:rsidR="005B2DBC" w:rsidRPr="001F4402">
        <w:rPr>
          <w:i/>
          <w:iCs/>
        </w:rPr>
        <w:tab/>
      </w:r>
      <w:r w:rsidR="00FC1B14" w:rsidRPr="001F4402">
        <w:rPr>
          <w:i/>
          <w:iCs/>
        </w:rPr>
        <w:tab/>
      </w:r>
      <w:r w:rsidR="00035DC4">
        <w:rPr>
          <w:i/>
          <w:iCs/>
        </w:rPr>
        <w:tab/>
      </w:r>
      <w:r w:rsidR="005B2DBC" w:rsidRPr="001F4402">
        <w:rPr>
          <w:i/>
          <w:iCs/>
          <w:u w:val="single"/>
        </w:rPr>
        <w:t>YES</w:t>
      </w:r>
      <w:r w:rsidR="005B2DBC" w:rsidRPr="001F4402">
        <w:rPr>
          <w:i/>
          <w:iCs/>
        </w:rPr>
        <w:t xml:space="preserve"> </w:t>
      </w:r>
      <w:r w:rsidR="005B2DBC" w:rsidRPr="001F4402">
        <w:sym w:font="Wingdings" w:char="F06F"/>
      </w:r>
      <w:r w:rsidR="005B2DBC" w:rsidRPr="001F4402">
        <w:tab/>
        <w:t xml:space="preserve">  </w:t>
      </w:r>
      <w:r w:rsidR="005B2DBC" w:rsidRPr="001F4402">
        <w:rPr>
          <w:i/>
          <w:iCs/>
          <w:u w:val="single"/>
        </w:rPr>
        <w:t>NO</w:t>
      </w:r>
      <w:r w:rsidR="005B2DBC" w:rsidRPr="001F4402">
        <w:t xml:space="preserve"> </w:t>
      </w:r>
      <w:r w:rsidR="005B2DBC" w:rsidRPr="001F4402">
        <w:sym w:font="Wingdings" w:char="F06F"/>
      </w:r>
    </w:p>
    <w:p w14:paraId="7294925C" w14:textId="67EC33BA" w:rsidR="002D19C2" w:rsidRPr="001F4402" w:rsidRDefault="002D19C2">
      <w:pPr>
        <w:contextualSpacing/>
      </w:pPr>
      <w:r w:rsidRPr="001F4402">
        <w:t xml:space="preserve">If so, when?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</w:p>
    <w:p w14:paraId="40094A39" w14:textId="77777777" w:rsidR="006B7126" w:rsidRPr="001F4402" w:rsidRDefault="006B7126">
      <w:pPr>
        <w:contextualSpacing/>
        <w:rPr>
          <w:sz w:val="14"/>
          <w:szCs w:val="14"/>
        </w:rPr>
      </w:pPr>
    </w:p>
    <w:p w14:paraId="5716F93E" w14:textId="54DAE76F" w:rsidR="002D19C2" w:rsidRPr="001F4402" w:rsidRDefault="00000000">
      <w:pPr>
        <w:contextualSpacing/>
      </w:pPr>
      <w:r>
        <w:pict w14:anchorId="61DF76BC">
          <v:rect id="_x0000_i1026" style="width:351pt;height:1.5pt" o:hrpct="650" o:hralign="center" o:hrstd="t" o:hr="t" fillcolor="#a0a0a0" stroked="f"/>
        </w:pict>
      </w:r>
    </w:p>
    <w:p w14:paraId="5DB7A447" w14:textId="4F8E7AA1" w:rsidR="002D19C2" w:rsidRPr="001F4402" w:rsidRDefault="002D19C2" w:rsidP="002D19C2">
      <w:pPr>
        <w:contextualSpacing/>
        <w:jc w:val="center"/>
        <w:rPr>
          <w:b/>
          <w:bCs/>
        </w:rPr>
      </w:pPr>
      <w:r w:rsidRPr="001F4402">
        <w:rPr>
          <w:b/>
          <w:bCs/>
        </w:rPr>
        <w:t>The undersigned agrees to the following conditions for utilities requested:</w:t>
      </w:r>
    </w:p>
    <w:p w14:paraId="773CA4FE" w14:textId="3635D83C" w:rsidR="002D19C2" w:rsidRPr="001F4402" w:rsidRDefault="00254B01" w:rsidP="002D19C2">
      <w:pPr>
        <w:pStyle w:val="ListParagraph"/>
        <w:numPr>
          <w:ilvl w:val="0"/>
          <w:numId w:val="2"/>
        </w:numPr>
      </w:pPr>
      <w:r w:rsidRPr="001F4402">
        <w:t xml:space="preserve">Bills are past due </w:t>
      </w:r>
      <w:r w:rsidR="00C04FE1">
        <w:t>within</w:t>
      </w:r>
      <w:r w:rsidRPr="001F4402">
        <w:t xml:space="preserve"> 25 days</w:t>
      </w:r>
      <w:r w:rsidR="00C04FE1">
        <w:t xml:space="preserve"> of the bill date</w:t>
      </w:r>
      <w:r w:rsidRPr="001F4402">
        <w:t xml:space="preserve">. Past due bills will receive a penalty </w:t>
      </w:r>
      <w:r w:rsidR="00C04FE1">
        <w:t xml:space="preserve">based on the current fee schedule </w:t>
      </w:r>
      <w:r w:rsidRPr="001F4402">
        <w:t>and a delinquent notice will be mailed to the customer.</w:t>
      </w:r>
      <w:r w:rsidR="00C04FE1">
        <w:t xml:space="preserve"> Accounts are subject to disconnect if not paid within 10 days of the delinquent notice.</w:t>
      </w:r>
    </w:p>
    <w:p w14:paraId="0FAE345E" w14:textId="749F3728" w:rsidR="00254B01" w:rsidRPr="001F4402" w:rsidRDefault="00254B01" w:rsidP="002D19C2">
      <w:pPr>
        <w:pStyle w:val="ListParagraph"/>
        <w:numPr>
          <w:ilvl w:val="0"/>
          <w:numId w:val="2"/>
        </w:numPr>
      </w:pPr>
      <w:r w:rsidRPr="001F4402">
        <w:t>Any tampering with meters or related equipment is a violation of the law and is subject to prosecution and service termination.</w:t>
      </w:r>
      <w:r w:rsidR="00C04FE1">
        <w:t xml:space="preserve"> Tampering fees will be added to your account, first offense is </w:t>
      </w:r>
      <w:proofErr w:type="gramStart"/>
      <w:r w:rsidR="00C04FE1">
        <w:t>$200</w:t>
      </w:r>
      <w:proofErr w:type="gramEnd"/>
      <w:r w:rsidR="00C04FE1">
        <w:t xml:space="preserve"> and second offence is $500.</w:t>
      </w:r>
    </w:p>
    <w:p w14:paraId="79102090" w14:textId="1DCDE6F6" w:rsidR="000D243B" w:rsidRPr="001F4402" w:rsidRDefault="000D243B" w:rsidP="002D19C2">
      <w:pPr>
        <w:pStyle w:val="ListParagraph"/>
        <w:numPr>
          <w:ilvl w:val="0"/>
          <w:numId w:val="2"/>
        </w:numPr>
      </w:pPr>
      <w:r w:rsidRPr="001F4402">
        <w:t>Deposits will be applied to your final bill, and the remaining balance of the deposit will be refunded.</w:t>
      </w:r>
      <w:r w:rsidR="00C04FE1">
        <w:t xml:space="preserve"> </w:t>
      </w:r>
    </w:p>
    <w:p w14:paraId="13098718" w14:textId="7172E57E" w:rsidR="000D243B" w:rsidRPr="001F4402" w:rsidRDefault="000D243B" w:rsidP="002D19C2">
      <w:pPr>
        <w:pStyle w:val="ListParagraph"/>
        <w:numPr>
          <w:ilvl w:val="0"/>
          <w:numId w:val="2"/>
        </w:numPr>
      </w:pPr>
      <w:r w:rsidRPr="001F4402">
        <w:t>There will be a $25.00 non-refundable connection fee charged to your first bill.</w:t>
      </w:r>
    </w:p>
    <w:p w14:paraId="6EF2FAEA" w14:textId="54519D3C" w:rsidR="000D243B" w:rsidRPr="001F4402" w:rsidRDefault="000D243B" w:rsidP="002D19C2">
      <w:pPr>
        <w:pStyle w:val="ListParagraph"/>
        <w:numPr>
          <w:ilvl w:val="0"/>
          <w:numId w:val="2"/>
        </w:numPr>
      </w:pPr>
      <w:r w:rsidRPr="001F4402">
        <w:t>Applications for service by a renter must include a lease agreement with the utility service application.</w:t>
      </w:r>
    </w:p>
    <w:p w14:paraId="4B235A8C" w14:textId="38ED5C2A" w:rsidR="000D243B" w:rsidRDefault="003831F1" w:rsidP="002D19C2">
      <w:pPr>
        <w:pStyle w:val="ListParagraph"/>
        <w:numPr>
          <w:ilvl w:val="0"/>
          <w:numId w:val="2"/>
        </w:numPr>
      </w:pPr>
      <w:r w:rsidRPr="001F4402">
        <w:t>The Town of Waynesville is not responsible for the receipt of utility bills and delinquent notices once they have been placed in the custody of the United States Postal Service.</w:t>
      </w:r>
    </w:p>
    <w:p w14:paraId="6AE0AA71" w14:textId="5DE0C9D6" w:rsidR="00A6501A" w:rsidRPr="001F4402" w:rsidRDefault="00A6501A" w:rsidP="002D19C2">
      <w:pPr>
        <w:pStyle w:val="ListParagraph"/>
        <w:numPr>
          <w:ilvl w:val="0"/>
          <w:numId w:val="2"/>
        </w:numPr>
      </w:pPr>
      <w:r>
        <w:t>I agree to receive email messages about my utility account.</w:t>
      </w:r>
    </w:p>
    <w:p w14:paraId="3EA5D148" w14:textId="3B198032" w:rsidR="005B2DBC" w:rsidRPr="001F4402" w:rsidRDefault="005B2DBC" w:rsidP="003831F1">
      <w:pPr>
        <w:rPr>
          <w:sz w:val="14"/>
          <w:szCs w:val="14"/>
        </w:rPr>
      </w:pPr>
    </w:p>
    <w:p w14:paraId="7041E4E2" w14:textId="0B977B3E" w:rsidR="003831F1" w:rsidRPr="001F4402" w:rsidRDefault="003831F1" w:rsidP="003831F1">
      <w:pPr>
        <w:rPr>
          <w:u w:val="single"/>
        </w:rPr>
      </w:pPr>
      <w:r w:rsidRPr="001F4402">
        <w:t>Signature of Applicant</w:t>
      </w:r>
      <w:r w:rsidR="001F4402" w:rsidRPr="001F4402">
        <w:t>: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1F4402">
        <w:rPr>
          <w:u w:val="single"/>
        </w:rPr>
        <w:tab/>
      </w:r>
      <w:r w:rsidRPr="001F4402">
        <w:tab/>
        <w:t xml:space="preserve">Driver’s License #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</w:p>
    <w:p w14:paraId="7E2EC72D" w14:textId="6349EED2" w:rsidR="005B2DBC" w:rsidRPr="001F4402" w:rsidRDefault="005B2DBC" w:rsidP="006B7126">
      <w:pPr>
        <w:jc w:val="both"/>
        <w:rPr>
          <w:sz w:val="14"/>
          <w:szCs w:val="14"/>
        </w:rPr>
      </w:pPr>
    </w:p>
    <w:p w14:paraId="29A4333A" w14:textId="2FF7D096" w:rsidR="002D19C2" w:rsidRPr="001F4402" w:rsidRDefault="003831F1" w:rsidP="001F4402">
      <w:pPr>
        <w:jc w:val="both"/>
        <w:rPr>
          <w:u w:val="single"/>
        </w:rPr>
      </w:pPr>
      <w:r w:rsidRPr="001F4402">
        <w:t>Signature of Co-Applicant</w:t>
      </w:r>
      <w:r w:rsidR="001F4402" w:rsidRPr="001F4402">
        <w:t>: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6B7126" w:rsidRPr="001F4402">
        <w:tab/>
        <w:t xml:space="preserve">Driver’s License # </w:t>
      </w:r>
      <w:r w:rsidR="006B7126"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="006B7126" w:rsidRPr="001F4402">
        <w:rPr>
          <w:u w:val="single"/>
        </w:rPr>
        <w:tab/>
      </w:r>
    </w:p>
    <w:sectPr w:rsidR="002D19C2" w:rsidRPr="001F4402" w:rsidSect="007E55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EF56" w14:textId="77777777" w:rsidR="00D366B5" w:rsidRDefault="00D366B5" w:rsidP="007E550F">
      <w:pPr>
        <w:spacing w:after="0" w:line="240" w:lineRule="auto"/>
      </w:pPr>
      <w:r>
        <w:separator/>
      </w:r>
    </w:p>
  </w:endnote>
  <w:endnote w:type="continuationSeparator" w:id="0">
    <w:p w14:paraId="78535B25" w14:textId="77777777" w:rsidR="00D366B5" w:rsidRDefault="00D366B5" w:rsidP="007E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AECE" w14:textId="77777777" w:rsidR="00D366B5" w:rsidRDefault="00D366B5" w:rsidP="007E550F">
      <w:pPr>
        <w:spacing w:after="0" w:line="240" w:lineRule="auto"/>
      </w:pPr>
      <w:r>
        <w:separator/>
      </w:r>
    </w:p>
  </w:footnote>
  <w:footnote w:type="continuationSeparator" w:id="0">
    <w:p w14:paraId="37F6F451" w14:textId="77777777" w:rsidR="00D366B5" w:rsidRDefault="00D366B5" w:rsidP="007E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2F89" w14:textId="2BFBD0CC" w:rsidR="007E550F" w:rsidRPr="00B33655" w:rsidRDefault="007E550F" w:rsidP="007E550F">
    <w:pPr>
      <w:pStyle w:val="Header"/>
      <w:jc w:val="center"/>
      <w:rPr>
        <w:b/>
        <w:bCs/>
        <w:sz w:val="36"/>
        <w:szCs w:val="36"/>
        <w:u w:val="single"/>
      </w:rPr>
    </w:pPr>
    <w:r w:rsidRPr="00B33655">
      <w:rPr>
        <w:b/>
        <w:bCs/>
        <w:sz w:val="36"/>
        <w:szCs w:val="36"/>
        <w:u w:val="single"/>
      </w:rPr>
      <w:t>Town of Waynesville</w:t>
    </w:r>
  </w:p>
  <w:p w14:paraId="358A083C" w14:textId="77777777" w:rsidR="002D19C2" w:rsidRDefault="007E550F" w:rsidP="007E550F">
    <w:pPr>
      <w:pStyle w:val="Header"/>
      <w:jc w:val="center"/>
      <w:rPr>
        <w:sz w:val="28"/>
        <w:szCs w:val="28"/>
      </w:rPr>
    </w:pPr>
    <w:r w:rsidRPr="00B33655">
      <w:rPr>
        <w:sz w:val="28"/>
        <w:szCs w:val="28"/>
      </w:rPr>
      <w:t>Residential Application for Utility Services</w:t>
    </w:r>
  </w:p>
  <w:p w14:paraId="09035A49" w14:textId="0B6AB4ED" w:rsidR="007E550F" w:rsidRPr="00B33655" w:rsidRDefault="00000000" w:rsidP="007E550F">
    <w:pPr>
      <w:pStyle w:val="Header"/>
      <w:jc w:val="center"/>
      <w:rPr>
        <w:sz w:val="28"/>
        <w:szCs w:val="28"/>
      </w:rPr>
    </w:pPr>
    <w:r>
      <w:rPr>
        <w:sz w:val="2"/>
        <w:szCs w:val="2"/>
      </w:rPr>
      <w:pict w14:anchorId="17AB9462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640D"/>
    <w:multiLevelType w:val="hybridMultilevel"/>
    <w:tmpl w:val="4932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4F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909"/>
    <w:multiLevelType w:val="hybridMultilevel"/>
    <w:tmpl w:val="491A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67C1"/>
    <w:multiLevelType w:val="hybridMultilevel"/>
    <w:tmpl w:val="4A3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23683">
    <w:abstractNumId w:val="1"/>
  </w:num>
  <w:num w:numId="2" w16cid:durableId="1738475128">
    <w:abstractNumId w:val="2"/>
  </w:num>
  <w:num w:numId="3" w16cid:durableId="164195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0F"/>
    <w:rsid w:val="00035DC4"/>
    <w:rsid w:val="000D243B"/>
    <w:rsid w:val="000F5FF2"/>
    <w:rsid w:val="001F4402"/>
    <w:rsid w:val="00254B01"/>
    <w:rsid w:val="002D19C2"/>
    <w:rsid w:val="003831F1"/>
    <w:rsid w:val="005B2DBC"/>
    <w:rsid w:val="006B7126"/>
    <w:rsid w:val="006E602F"/>
    <w:rsid w:val="00711DEC"/>
    <w:rsid w:val="00723927"/>
    <w:rsid w:val="007E550F"/>
    <w:rsid w:val="00A6501A"/>
    <w:rsid w:val="00B33655"/>
    <w:rsid w:val="00B41E22"/>
    <w:rsid w:val="00C04FE1"/>
    <w:rsid w:val="00CF119A"/>
    <w:rsid w:val="00D366B5"/>
    <w:rsid w:val="00E46DEB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021A3"/>
  <w15:chartTrackingRefBased/>
  <w15:docId w15:val="{F0FB4A20-EAA7-4B27-8519-1E15F5B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0F"/>
  </w:style>
  <w:style w:type="paragraph" w:styleId="Footer">
    <w:name w:val="footer"/>
    <w:basedOn w:val="Normal"/>
    <w:link w:val="FooterChar"/>
    <w:uiPriority w:val="99"/>
    <w:unhideWhenUsed/>
    <w:rsid w:val="007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0F"/>
  </w:style>
  <w:style w:type="paragraph" w:styleId="ListParagraph">
    <w:name w:val="List Paragraph"/>
    <w:basedOn w:val="Normal"/>
    <w:uiPriority w:val="34"/>
    <w:qFormat/>
    <w:rsid w:val="002D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Fowler</dc:creator>
  <cp:keywords/>
  <dc:description/>
  <cp:lastModifiedBy>Candace Poolton</cp:lastModifiedBy>
  <cp:revision>2</cp:revision>
  <dcterms:created xsi:type="dcterms:W3CDTF">2024-01-22T16:09:00Z</dcterms:created>
  <dcterms:modified xsi:type="dcterms:W3CDTF">2024-01-22T16:09:00Z</dcterms:modified>
</cp:coreProperties>
</file>